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64A5E" w14:textId="77777777" w:rsidR="003E4CF7" w:rsidRPr="003E4CF7" w:rsidRDefault="00233532" w:rsidP="003E4CF7">
      <w:pPr>
        <w:pBdr>
          <w:bottom w:val="single" w:sz="12" w:space="1" w:color="auto"/>
        </w:pBdr>
        <w:jc w:val="center"/>
        <w:rPr>
          <w:rFonts w:asciiTheme="minorHAnsi" w:hAnsiTheme="minorHAnsi" w:cs="Arial"/>
          <w:b/>
        </w:rPr>
      </w:pPr>
      <w:r>
        <w:rPr>
          <w:rFonts w:asciiTheme="minorHAnsi" w:hAnsiTheme="minorHAnsi" w:cs="Arial"/>
          <w:b/>
          <w:noProof/>
        </w:rPr>
        <w:drawing>
          <wp:anchor distT="0" distB="0" distL="114300" distR="114300" simplePos="0" relativeHeight="251658240" behindDoc="0" locked="0" layoutInCell="1" allowOverlap="1" wp14:anchorId="2D35C9A7" wp14:editId="0385E0F1">
            <wp:simplePos x="0" y="0"/>
            <wp:positionH relativeFrom="column">
              <wp:posOffset>1371600</wp:posOffset>
            </wp:positionH>
            <wp:positionV relativeFrom="paragraph">
              <wp:posOffset>-342900</wp:posOffset>
            </wp:positionV>
            <wp:extent cx="2857500" cy="1020445"/>
            <wp:effectExtent l="0" t="0" r="12700" b="0"/>
            <wp:wrapThrough wrapText="bothSides">
              <wp:wrapPolygon edited="0">
                <wp:start x="0" y="0"/>
                <wp:lineTo x="0" y="20968"/>
                <wp:lineTo x="21504" y="20968"/>
                <wp:lineTo x="21504" y="0"/>
                <wp:lineTo x="0" y="0"/>
              </wp:wrapPolygon>
            </wp:wrapThrough>
            <wp:docPr id="2" name="Picture 2" descr="Official 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Logo_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FD296" w14:textId="77777777" w:rsidR="003E4CF7" w:rsidRPr="003E4CF7" w:rsidRDefault="003E4CF7" w:rsidP="003E4CF7">
      <w:pPr>
        <w:pBdr>
          <w:bottom w:val="single" w:sz="12" w:space="1" w:color="auto"/>
        </w:pBdr>
        <w:jc w:val="center"/>
        <w:rPr>
          <w:rFonts w:asciiTheme="minorHAnsi" w:hAnsiTheme="minorHAnsi" w:cs="Arial"/>
          <w:b/>
        </w:rPr>
      </w:pPr>
    </w:p>
    <w:p w14:paraId="66FEA78C" w14:textId="77777777" w:rsidR="003E4CF7" w:rsidRPr="003E4CF7" w:rsidRDefault="003E4CF7" w:rsidP="003E4CF7">
      <w:pPr>
        <w:pBdr>
          <w:bottom w:val="single" w:sz="12" w:space="1" w:color="auto"/>
        </w:pBdr>
        <w:jc w:val="center"/>
        <w:rPr>
          <w:rFonts w:asciiTheme="minorHAnsi" w:hAnsiTheme="minorHAnsi" w:cs="Arial"/>
          <w:b/>
        </w:rPr>
      </w:pPr>
    </w:p>
    <w:p w14:paraId="526E84CB" w14:textId="77777777" w:rsidR="003E4CF7" w:rsidRPr="003E4CF7" w:rsidRDefault="003E4CF7" w:rsidP="003E4CF7">
      <w:pPr>
        <w:pBdr>
          <w:bottom w:val="single" w:sz="12" w:space="1" w:color="auto"/>
        </w:pBdr>
        <w:jc w:val="center"/>
        <w:rPr>
          <w:rFonts w:asciiTheme="minorHAnsi" w:hAnsiTheme="minorHAnsi" w:cs="Arial"/>
          <w:b/>
        </w:rPr>
      </w:pPr>
    </w:p>
    <w:p w14:paraId="74E93EE7" w14:textId="77777777" w:rsidR="003E4CF7" w:rsidRPr="003E4CF7" w:rsidRDefault="003E4CF7" w:rsidP="003E4CF7">
      <w:pPr>
        <w:pBdr>
          <w:bottom w:val="single" w:sz="12" w:space="1" w:color="auto"/>
        </w:pBdr>
        <w:rPr>
          <w:rFonts w:asciiTheme="minorHAnsi" w:hAnsiTheme="minorHAnsi" w:cs="Arial"/>
          <w:b/>
        </w:rPr>
      </w:pPr>
    </w:p>
    <w:p w14:paraId="331F17FC" w14:textId="77777777" w:rsidR="003E4CF7" w:rsidRPr="003E4CF7" w:rsidRDefault="003E4CF7" w:rsidP="003E4CF7">
      <w:pPr>
        <w:pBdr>
          <w:bottom w:val="single" w:sz="12" w:space="1" w:color="auto"/>
        </w:pBdr>
        <w:rPr>
          <w:rFonts w:asciiTheme="minorHAnsi" w:hAnsiTheme="minorHAnsi" w:cs="Arial"/>
          <w:b/>
        </w:rPr>
      </w:pPr>
    </w:p>
    <w:p w14:paraId="4AE7DFF5" w14:textId="77777777" w:rsidR="003E4CF7" w:rsidRPr="003E4CF7" w:rsidRDefault="003E4CF7" w:rsidP="003E4CF7">
      <w:pPr>
        <w:pBdr>
          <w:bottom w:val="single" w:sz="12" w:space="1" w:color="auto"/>
        </w:pBdr>
        <w:jc w:val="center"/>
        <w:rPr>
          <w:rFonts w:asciiTheme="minorHAnsi" w:hAnsiTheme="minorHAnsi" w:cs="Arial"/>
          <w:b/>
        </w:rPr>
      </w:pPr>
      <w:r w:rsidRPr="003E4CF7">
        <w:rPr>
          <w:rFonts w:asciiTheme="minorHAnsi" w:hAnsiTheme="minorHAnsi" w:cs="Arial"/>
          <w:b/>
        </w:rPr>
        <w:t>Anxiety &amp; Stress Clinic</w:t>
      </w:r>
    </w:p>
    <w:p w14:paraId="3C87A9CC" w14:textId="77777777" w:rsidR="003E4CF7" w:rsidRPr="003E4CF7" w:rsidRDefault="006422E1" w:rsidP="003E4CF7">
      <w:pPr>
        <w:pBdr>
          <w:bottom w:val="single" w:sz="12" w:space="1" w:color="auto"/>
        </w:pBdr>
        <w:jc w:val="center"/>
        <w:rPr>
          <w:rFonts w:asciiTheme="minorHAnsi" w:hAnsiTheme="minorHAnsi" w:cs="Arial"/>
          <w:b/>
        </w:rPr>
      </w:pPr>
      <w:r>
        <w:rPr>
          <w:rFonts w:asciiTheme="minorHAnsi" w:hAnsiTheme="minorHAnsi" w:cs="Arial"/>
          <w:b/>
        </w:rPr>
        <w:t xml:space="preserve">Institute </w:t>
      </w:r>
      <w:r w:rsidR="003E4CF7" w:rsidRPr="003E4CF7">
        <w:rPr>
          <w:rFonts w:asciiTheme="minorHAnsi" w:hAnsiTheme="minorHAnsi" w:cs="Arial"/>
          <w:b/>
        </w:rPr>
        <w:t>f</w:t>
      </w:r>
      <w:r>
        <w:rPr>
          <w:rFonts w:asciiTheme="minorHAnsi" w:hAnsiTheme="minorHAnsi" w:cs="Arial"/>
          <w:b/>
        </w:rPr>
        <w:t>or</w:t>
      </w:r>
      <w:r w:rsidR="003E4CF7" w:rsidRPr="003E4CF7">
        <w:rPr>
          <w:rFonts w:asciiTheme="minorHAnsi" w:hAnsiTheme="minorHAnsi" w:cs="Arial"/>
          <w:b/>
        </w:rPr>
        <w:t xml:space="preserve"> Mental Health Research</w:t>
      </w:r>
    </w:p>
    <w:p w14:paraId="3B89D140" w14:textId="77777777" w:rsidR="003E4CF7" w:rsidRPr="003E4CF7" w:rsidRDefault="006D41DA" w:rsidP="003E4CF7">
      <w:pPr>
        <w:pBdr>
          <w:bottom w:val="single" w:sz="12" w:space="1" w:color="auto"/>
        </w:pBdr>
        <w:jc w:val="center"/>
        <w:rPr>
          <w:rFonts w:asciiTheme="minorHAnsi" w:hAnsiTheme="minorHAnsi" w:cs="Arial"/>
          <w:b/>
        </w:rPr>
      </w:pPr>
      <w:r>
        <w:rPr>
          <w:rFonts w:asciiTheme="minorHAnsi" w:hAnsiTheme="minorHAnsi" w:cs="Arial"/>
          <w:b/>
        </w:rPr>
        <w:t xml:space="preserve">University </w:t>
      </w:r>
      <w:r w:rsidR="006422E1">
        <w:rPr>
          <w:rFonts w:asciiTheme="minorHAnsi" w:hAnsiTheme="minorHAnsi" w:cs="Arial"/>
          <w:b/>
        </w:rPr>
        <w:t>of</w:t>
      </w:r>
      <w:r w:rsidR="003E4CF7" w:rsidRPr="003E4CF7">
        <w:rPr>
          <w:rFonts w:asciiTheme="minorHAnsi" w:hAnsiTheme="minorHAnsi" w:cs="Arial"/>
          <w:b/>
        </w:rPr>
        <w:t xml:space="preserve"> Texas at Austin</w:t>
      </w:r>
    </w:p>
    <w:p w14:paraId="312D4B6F" w14:textId="77777777" w:rsidR="003E4CF7" w:rsidRPr="003E4CF7" w:rsidRDefault="003E4CF7" w:rsidP="003E4CF7">
      <w:pPr>
        <w:pBdr>
          <w:bottom w:val="single" w:sz="12" w:space="1" w:color="auto"/>
        </w:pBdr>
        <w:jc w:val="center"/>
        <w:rPr>
          <w:rFonts w:asciiTheme="minorHAnsi" w:hAnsiTheme="minorHAnsi" w:cs="Arial"/>
          <w:b/>
        </w:rPr>
      </w:pPr>
    </w:p>
    <w:p w14:paraId="31B3AA3B" w14:textId="77777777" w:rsidR="003E4CF7" w:rsidRPr="003E4CF7" w:rsidRDefault="003E4CF7" w:rsidP="003E4CF7">
      <w:pPr>
        <w:pBdr>
          <w:bottom w:val="single" w:sz="12" w:space="1" w:color="auto"/>
        </w:pBdr>
        <w:jc w:val="center"/>
        <w:rPr>
          <w:rFonts w:asciiTheme="minorHAnsi" w:hAnsiTheme="minorHAnsi" w:cs="Arial"/>
          <w:b/>
        </w:rPr>
      </w:pPr>
      <w:r w:rsidRPr="003E4CF7">
        <w:rPr>
          <w:rFonts w:asciiTheme="minorHAnsi" w:hAnsiTheme="minorHAnsi" w:cs="Arial"/>
          <w:b/>
        </w:rPr>
        <w:t>PAYMENT PROCEDURES</w:t>
      </w:r>
    </w:p>
    <w:p w14:paraId="54966928" w14:textId="77777777" w:rsidR="003E4CF7" w:rsidRPr="003E4CF7" w:rsidRDefault="003E4CF7" w:rsidP="003E4CF7">
      <w:pPr>
        <w:rPr>
          <w:rFonts w:asciiTheme="minorHAnsi" w:hAnsiTheme="minorHAnsi"/>
        </w:rPr>
      </w:pPr>
    </w:p>
    <w:p w14:paraId="294D0790" w14:textId="77777777" w:rsidR="003E4CF7" w:rsidRPr="003E4CF7" w:rsidRDefault="003E4CF7" w:rsidP="003E4CF7">
      <w:pPr>
        <w:rPr>
          <w:rFonts w:asciiTheme="minorHAnsi" w:hAnsiTheme="minorHAnsi"/>
          <w:b/>
        </w:rPr>
      </w:pPr>
      <w:r w:rsidRPr="003E4CF7">
        <w:rPr>
          <w:rFonts w:asciiTheme="minorHAnsi" w:hAnsiTheme="minorHAnsi"/>
          <w:b/>
        </w:rPr>
        <w:t>Fees</w:t>
      </w:r>
    </w:p>
    <w:p w14:paraId="0B27E599" w14:textId="77777777" w:rsidR="003E4CF7" w:rsidRDefault="003E4CF7" w:rsidP="003E4CF7">
      <w:pPr>
        <w:ind w:firstLine="360"/>
        <w:rPr>
          <w:rFonts w:asciiTheme="minorHAnsi" w:hAnsiTheme="minorHAnsi"/>
        </w:rPr>
      </w:pPr>
      <w:r>
        <w:rPr>
          <w:rFonts w:asciiTheme="minorHAnsi" w:hAnsiTheme="minorHAnsi"/>
        </w:rPr>
        <w:t xml:space="preserve">The Anxiety &amp; Stress Clinic (ASC) offers both individual and group psychotherapy. </w:t>
      </w:r>
    </w:p>
    <w:p w14:paraId="149FE099" w14:textId="77777777" w:rsidR="003E4CF7" w:rsidRDefault="00A95D8F" w:rsidP="003E4CF7">
      <w:pPr>
        <w:pStyle w:val="ListParagraph"/>
        <w:numPr>
          <w:ilvl w:val="0"/>
          <w:numId w:val="1"/>
        </w:numPr>
        <w:rPr>
          <w:rFonts w:asciiTheme="minorHAnsi" w:hAnsiTheme="minorHAnsi"/>
        </w:rPr>
      </w:pPr>
      <w:r>
        <w:rPr>
          <w:rFonts w:asciiTheme="minorHAnsi" w:hAnsiTheme="minorHAnsi"/>
        </w:rPr>
        <w:t>I</w:t>
      </w:r>
      <w:r w:rsidR="003E4CF7">
        <w:rPr>
          <w:rFonts w:asciiTheme="minorHAnsi" w:hAnsiTheme="minorHAnsi"/>
        </w:rPr>
        <w:t>ndividual psychotherapy</w:t>
      </w:r>
      <w:r>
        <w:rPr>
          <w:rFonts w:asciiTheme="minorHAnsi" w:hAnsiTheme="minorHAnsi"/>
        </w:rPr>
        <w:t xml:space="preserve"> payment is due at the beginning of each session and operates on a sliding scale based on total annual income</w:t>
      </w:r>
      <w:r w:rsidR="003E4CF7">
        <w:rPr>
          <w:rFonts w:asciiTheme="minorHAnsi" w:hAnsiTheme="minorHAnsi"/>
        </w:rPr>
        <w:t xml:space="preserve">. </w:t>
      </w:r>
      <w:r>
        <w:rPr>
          <w:rFonts w:asciiTheme="minorHAnsi" w:hAnsiTheme="minorHAnsi"/>
        </w:rPr>
        <w:t xml:space="preserve"> The fees range from $45 to $160 per session. </w:t>
      </w:r>
      <w:r w:rsidR="003E4CF7">
        <w:rPr>
          <w:rFonts w:asciiTheme="minorHAnsi" w:hAnsiTheme="minorHAnsi"/>
        </w:rPr>
        <w:t xml:space="preserve">Appointments are typically scheduled once a week. </w:t>
      </w:r>
    </w:p>
    <w:p w14:paraId="54780208" w14:textId="66344F9B" w:rsidR="003E4CF7" w:rsidRDefault="003E4CF7" w:rsidP="003E4CF7">
      <w:pPr>
        <w:pStyle w:val="ListParagraph"/>
        <w:numPr>
          <w:ilvl w:val="0"/>
          <w:numId w:val="1"/>
        </w:numPr>
        <w:rPr>
          <w:rFonts w:asciiTheme="minorHAnsi" w:hAnsiTheme="minorHAnsi"/>
        </w:rPr>
      </w:pPr>
      <w:r>
        <w:rPr>
          <w:rFonts w:asciiTheme="minorHAnsi" w:hAnsiTheme="minorHAnsi"/>
        </w:rPr>
        <w:t xml:space="preserve">Group therapy is offered for $25 per person per session. Group sessions typically meet once a week. </w:t>
      </w:r>
      <w:r w:rsidR="00D11F34">
        <w:rPr>
          <w:rFonts w:asciiTheme="minorHAnsi" w:hAnsiTheme="minorHAnsi"/>
        </w:rPr>
        <w:t xml:space="preserve">Currently, there are no active groups at the clinic. </w:t>
      </w:r>
    </w:p>
    <w:p w14:paraId="416D1F4F" w14:textId="77777777" w:rsidR="00D11F34" w:rsidRDefault="00D11F34" w:rsidP="00D11F34">
      <w:pPr>
        <w:pStyle w:val="ListParagraph"/>
        <w:rPr>
          <w:rFonts w:asciiTheme="minorHAnsi" w:hAnsiTheme="minorHAnsi"/>
        </w:rPr>
      </w:pPr>
    </w:p>
    <w:p w14:paraId="1AF2CC71" w14:textId="77777777" w:rsidR="003E4CF7" w:rsidRDefault="003E4CF7" w:rsidP="009A7291">
      <w:pPr>
        <w:rPr>
          <w:rFonts w:asciiTheme="minorHAnsi" w:hAnsiTheme="minorHAnsi"/>
        </w:rPr>
      </w:pPr>
      <w:r>
        <w:rPr>
          <w:rFonts w:asciiTheme="minorHAnsi" w:hAnsiTheme="minorHAnsi"/>
        </w:rPr>
        <w:t>Both</w:t>
      </w:r>
      <w:r w:rsidR="009A7291">
        <w:rPr>
          <w:rFonts w:asciiTheme="minorHAnsi" w:hAnsiTheme="minorHAnsi"/>
        </w:rPr>
        <w:t xml:space="preserve"> individual and group therapy are</w:t>
      </w:r>
      <w:r>
        <w:rPr>
          <w:rFonts w:asciiTheme="minorHAnsi" w:hAnsiTheme="minorHAnsi"/>
        </w:rPr>
        <w:t xml:space="preserve"> administered by graduate students in the Clinical Psychology program at the University of Texas at Austin. All trainees are closely supervised by a licensed psychologist. </w:t>
      </w:r>
    </w:p>
    <w:p w14:paraId="6F99D53A" w14:textId="77777777" w:rsidR="003E4CF7" w:rsidRDefault="003E4CF7" w:rsidP="003E4CF7">
      <w:pPr>
        <w:rPr>
          <w:rFonts w:asciiTheme="minorHAnsi" w:hAnsiTheme="minorHAnsi"/>
        </w:rPr>
      </w:pPr>
    </w:p>
    <w:tbl>
      <w:tblPr>
        <w:tblStyle w:val="TableGrid"/>
        <w:tblW w:w="105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514"/>
        <w:gridCol w:w="2001"/>
        <w:gridCol w:w="2001"/>
      </w:tblGrid>
      <w:tr w:rsidR="00D11F34" w:rsidRPr="00D11F34" w14:paraId="6C67ED52" w14:textId="77777777" w:rsidTr="00507FCC">
        <w:tc>
          <w:tcPr>
            <w:tcW w:w="4050" w:type="dxa"/>
          </w:tcPr>
          <w:p w14:paraId="163A5299" w14:textId="77777777" w:rsidR="00D11F34" w:rsidRPr="00D11F34" w:rsidRDefault="00D11F34" w:rsidP="00507FCC">
            <w:pPr>
              <w:ind w:left="162"/>
              <w:rPr>
                <w:rFonts w:ascii="Cambria" w:hAnsi="Cambria"/>
                <w:b/>
                <w:sz w:val="28"/>
                <w:szCs w:val="28"/>
                <w:u w:val="single"/>
              </w:rPr>
            </w:pPr>
            <w:r w:rsidRPr="00D11F34">
              <w:rPr>
                <w:rFonts w:ascii="Cambria" w:hAnsi="Cambria"/>
                <w:b/>
                <w:sz w:val="28"/>
                <w:szCs w:val="28"/>
                <w:u w:val="single"/>
              </w:rPr>
              <w:t>Fee</w:t>
            </w:r>
          </w:p>
          <w:p w14:paraId="567F83EF" w14:textId="77777777" w:rsidR="00D11F34" w:rsidRPr="00D11F34" w:rsidRDefault="00D11F34" w:rsidP="00507FCC">
            <w:pPr>
              <w:ind w:left="162"/>
              <w:rPr>
                <w:rFonts w:ascii="Cambria" w:hAnsi="Cambria"/>
                <w:b/>
              </w:rPr>
            </w:pPr>
          </w:p>
        </w:tc>
        <w:tc>
          <w:tcPr>
            <w:tcW w:w="2514" w:type="dxa"/>
          </w:tcPr>
          <w:p w14:paraId="74F5452F" w14:textId="77777777" w:rsidR="00D11F34" w:rsidRPr="00D11F34" w:rsidRDefault="00D11F34" w:rsidP="00507FCC">
            <w:pPr>
              <w:ind w:left="162"/>
              <w:rPr>
                <w:rFonts w:ascii="Cambria" w:hAnsi="Cambria"/>
                <w:b/>
                <w:sz w:val="28"/>
                <w:szCs w:val="28"/>
                <w:u w:val="single"/>
              </w:rPr>
            </w:pPr>
            <w:r w:rsidRPr="00D11F34">
              <w:rPr>
                <w:rFonts w:ascii="Cambria" w:hAnsi="Cambria"/>
                <w:b/>
                <w:sz w:val="28"/>
                <w:szCs w:val="28"/>
                <w:u w:val="single"/>
              </w:rPr>
              <w:t>Annual Income</w:t>
            </w:r>
          </w:p>
        </w:tc>
        <w:tc>
          <w:tcPr>
            <w:tcW w:w="2001" w:type="dxa"/>
          </w:tcPr>
          <w:p w14:paraId="006C025B" w14:textId="77777777" w:rsidR="00D11F34" w:rsidRPr="00D11F34" w:rsidRDefault="00D11F34" w:rsidP="00507FCC">
            <w:pPr>
              <w:rPr>
                <w:rFonts w:ascii="Cambria" w:hAnsi="Cambria"/>
                <w:b/>
                <w:u w:val="single"/>
              </w:rPr>
            </w:pPr>
          </w:p>
        </w:tc>
        <w:tc>
          <w:tcPr>
            <w:tcW w:w="2001" w:type="dxa"/>
          </w:tcPr>
          <w:p w14:paraId="4AA30E49" w14:textId="77777777" w:rsidR="00D11F34" w:rsidRPr="00D11F34" w:rsidRDefault="00D11F34" w:rsidP="00507FCC">
            <w:pPr>
              <w:rPr>
                <w:rFonts w:ascii="Cambria" w:hAnsi="Cambria"/>
                <w:b/>
                <w:u w:val="single"/>
              </w:rPr>
            </w:pPr>
          </w:p>
        </w:tc>
      </w:tr>
      <w:tr w:rsidR="00D11F34" w:rsidRPr="00D11F34" w14:paraId="400E2886" w14:textId="77777777" w:rsidTr="00507FCC">
        <w:tc>
          <w:tcPr>
            <w:tcW w:w="4050" w:type="dxa"/>
          </w:tcPr>
          <w:p w14:paraId="6A08502F" w14:textId="77777777" w:rsidR="00D11F34" w:rsidRPr="00D11F34" w:rsidRDefault="00D11F34" w:rsidP="00507FCC">
            <w:pPr>
              <w:ind w:left="162"/>
              <w:rPr>
                <w:rFonts w:ascii="Cambria" w:hAnsi="Cambria"/>
              </w:rPr>
            </w:pPr>
            <w:r w:rsidRPr="00D11F34">
              <w:rPr>
                <w:rFonts w:ascii="Cambria" w:hAnsi="Cambria"/>
              </w:rPr>
              <w:t>$45</w:t>
            </w:r>
          </w:p>
        </w:tc>
        <w:tc>
          <w:tcPr>
            <w:tcW w:w="2514" w:type="dxa"/>
          </w:tcPr>
          <w:p w14:paraId="5BF8FC68" w14:textId="77777777" w:rsidR="00D11F34" w:rsidRPr="00D11F34" w:rsidRDefault="00D11F34" w:rsidP="00507FCC">
            <w:pPr>
              <w:ind w:left="162"/>
              <w:rPr>
                <w:rFonts w:ascii="Cambria" w:hAnsi="Cambria"/>
              </w:rPr>
            </w:pPr>
            <w:r w:rsidRPr="00D11F34">
              <w:rPr>
                <w:rFonts w:ascii="Cambria" w:hAnsi="Cambria"/>
              </w:rPr>
              <w:t>&lt; $40,000</w:t>
            </w:r>
          </w:p>
        </w:tc>
        <w:tc>
          <w:tcPr>
            <w:tcW w:w="2001" w:type="dxa"/>
          </w:tcPr>
          <w:p w14:paraId="79F7F9BE" w14:textId="77777777" w:rsidR="00D11F34" w:rsidRPr="00D11F34" w:rsidRDefault="00D11F34" w:rsidP="00507FCC">
            <w:pPr>
              <w:rPr>
                <w:rFonts w:ascii="Cambria" w:hAnsi="Cambria"/>
              </w:rPr>
            </w:pPr>
          </w:p>
        </w:tc>
        <w:tc>
          <w:tcPr>
            <w:tcW w:w="2001" w:type="dxa"/>
          </w:tcPr>
          <w:p w14:paraId="3934F7AB" w14:textId="77777777" w:rsidR="00D11F34" w:rsidRPr="00D11F34" w:rsidRDefault="00D11F34" w:rsidP="00507FCC">
            <w:pPr>
              <w:rPr>
                <w:rFonts w:ascii="Cambria" w:hAnsi="Cambria"/>
              </w:rPr>
            </w:pPr>
          </w:p>
        </w:tc>
      </w:tr>
      <w:tr w:rsidR="00D11F34" w:rsidRPr="00D11F34" w14:paraId="0A958C0B" w14:textId="77777777" w:rsidTr="00507FCC">
        <w:tc>
          <w:tcPr>
            <w:tcW w:w="4050" w:type="dxa"/>
          </w:tcPr>
          <w:p w14:paraId="7A356881" w14:textId="77777777" w:rsidR="00D11F34" w:rsidRPr="00D11F34" w:rsidRDefault="00D11F34" w:rsidP="00507FCC">
            <w:pPr>
              <w:ind w:left="162"/>
              <w:rPr>
                <w:rFonts w:ascii="Cambria" w:hAnsi="Cambria"/>
              </w:rPr>
            </w:pPr>
            <w:r w:rsidRPr="00D11F34">
              <w:rPr>
                <w:rFonts w:ascii="Cambria" w:hAnsi="Cambria"/>
              </w:rPr>
              <w:t>$60</w:t>
            </w:r>
          </w:p>
        </w:tc>
        <w:tc>
          <w:tcPr>
            <w:tcW w:w="2514" w:type="dxa"/>
          </w:tcPr>
          <w:p w14:paraId="6DF7162B" w14:textId="77777777" w:rsidR="00D11F34" w:rsidRPr="00D11F34" w:rsidRDefault="00D11F34" w:rsidP="00507FCC">
            <w:pPr>
              <w:ind w:left="162"/>
              <w:rPr>
                <w:rFonts w:ascii="Cambria" w:hAnsi="Cambria"/>
              </w:rPr>
            </w:pPr>
            <w:r w:rsidRPr="00D11F34">
              <w:rPr>
                <w:rFonts w:ascii="Cambria" w:hAnsi="Cambria"/>
              </w:rPr>
              <w:t>$40,001 - $80,000</w:t>
            </w:r>
          </w:p>
        </w:tc>
        <w:tc>
          <w:tcPr>
            <w:tcW w:w="2001" w:type="dxa"/>
          </w:tcPr>
          <w:p w14:paraId="3B1A72D2" w14:textId="77777777" w:rsidR="00D11F34" w:rsidRPr="00D11F34" w:rsidRDefault="00D11F34" w:rsidP="00507FCC">
            <w:pPr>
              <w:rPr>
                <w:rFonts w:ascii="Cambria" w:hAnsi="Cambria"/>
              </w:rPr>
            </w:pPr>
          </w:p>
        </w:tc>
        <w:tc>
          <w:tcPr>
            <w:tcW w:w="2001" w:type="dxa"/>
          </w:tcPr>
          <w:p w14:paraId="00B3BE3B" w14:textId="77777777" w:rsidR="00D11F34" w:rsidRPr="00D11F34" w:rsidRDefault="00D11F34" w:rsidP="00507FCC">
            <w:pPr>
              <w:rPr>
                <w:rFonts w:ascii="Cambria" w:hAnsi="Cambria"/>
              </w:rPr>
            </w:pPr>
          </w:p>
        </w:tc>
      </w:tr>
      <w:tr w:rsidR="00D11F34" w:rsidRPr="00D11F34" w14:paraId="7FE8C2D9" w14:textId="77777777" w:rsidTr="00507FCC">
        <w:tc>
          <w:tcPr>
            <w:tcW w:w="4050" w:type="dxa"/>
          </w:tcPr>
          <w:p w14:paraId="262A34BA" w14:textId="77777777" w:rsidR="00D11F34" w:rsidRPr="00D11F34" w:rsidRDefault="00D11F34" w:rsidP="00507FCC">
            <w:pPr>
              <w:ind w:left="162"/>
              <w:rPr>
                <w:rFonts w:ascii="Cambria" w:hAnsi="Cambria"/>
              </w:rPr>
            </w:pPr>
            <w:r w:rsidRPr="00D11F34">
              <w:rPr>
                <w:rFonts w:ascii="Cambria" w:hAnsi="Cambria"/>
              </w:rPr>
              <w:t>$80</w:t>
            </w:r>
          </w:p>
        </w:tc>
        <w:tc>
          <w:tcPr>
            <w:tcW w:w="2514" w:type="dxa"/>
          </w:tcPr>
          <w:p w14:paraId="3C35816D" w14:textId="77777777" w:rsidR="00D11F34" w:rsidRPr="00D11F34" w:rsidRDefault="00D11F34" w:rsidP="00507FCC">
            <w:pPr>
              <w:ind w:left="162"/>
              <w:rPr>
                <w:rFonts w:ascii="Cambria" w:hAnsi="Cambria"/>
              </w:rPr>
            </w:pPr>
            <w:r w:rsidRPr="00D11F34">
              <w:rPr>
                <w:rFonts w:ascii="Cambria" w:hAnsi="Cambria"/>
              </w:rPr>
              <w:t>$80,001 - $120,000</w:t>
            </w:r>
          </w:p>
        </w:tc>
        <w:tc>
          <w:tcPr>
            <w:tcW w:w="2001" w:type="dxa"/>
          </w:tcPr>
          <w:p w14:paraId="6BB2F71E" w14:textId="77777777" w:rsidR="00D11F34" w:rsidRPr="00D11F34" w:rsidRDefault="00D11F34" w:rsidP="00507FCC">
            <w:pPr>
              <w:rPr>
                <w:rFonts w:ascii="Cambria" w:hAnsi="Cambria"/>
              </w:rPr>
            </w:pPr>
          </w:p>
        </w:tc>
        <w:tc>
          <w:tcPr>
            <w:tcW w:w="2001" w:type="dxa"/>
          </w:tcPr>
          <w:p w14:paraId="4BBF2B31" w14:textId="77777777" w:rsidR="00D11F34" w:rsidRPr="00D11F34" w:rsidRDefault="00D11F34" w:rsidP="00507FCC">
            <w:pPr>
              <w:rPr>
                <w:rFonts w:ascii="Cambria" w:hAnsi="Cambria"/>
              </w:rPr>
            </w:pPr>
          </w:p>
        </w:tc>
      </w:tr>
      <w:tr w:rsidR="00D11F34" w:rsidRPr="00D11F34" w14:paraId="31AE1675" w14:textId="77777777" w:rsidTr="00507FCC">
        <w:tc>
          <w:tcPr>
            <w:tcW w:w="4050" w:type="dxa"/>
          </w:tcPr>
          <w:p w14:paraId="1F880D0C" w14:textId="77777777" w:rsidR="00D11F34" w:rsidRPr="00D11F34" w:rsidRDefault="00D11F34" w:rsidP="00507FCC">
            <w:pPr>
              <w:ind w:left="162"/>
              <w:rPr>
                <w:rFonts w:ascii="Cambria" w:hAnsi="Cambria"/>
              </w:rPr>
            </w:pPr>
            <w:r w:rsidRPr="00D11F34">
              <w:rPr>
                <w:rFonts w:ascii="Cambria" w:hAnsi="Cambria"/>
              </w:rPr>
              <w:t>$120</w:t>
            </w:r>
          </w:p>
        </w:tc>
        <w:tc>
          <w:tcPr>
            <w:tcW w:w="2514" w:type="dxa"/>
          </w:tcPr>
          <w:p w14:paraId="416955E8" w14:textId="77777777" w:rsidR="00D11F34" w:rsidRPr="00D11F34" w:rsidRDefault="00D11F34" w:rsidP="00507FCC">
            <w:pPr>
              <w:ind w:left="162"/>
              <w:rPr>
                <w:rFonts w:ascii="Cambria" w:hAnsi="Cambria"/>
              </w:rPr>
            </w:pPr>
            <w:r w:rsidRPr="00D11F34">
              <w:rPr>
                <w:rFonts w:ascii="Cambria" w:hAnsi="Cambria"/>
              </w:rPr>
              <w:t>$120,001 - $160,000</w:t>
            </w:r>
          </w:p>
        </w:tc>
        <w:tc>
          <w:tcPr>
            <w:tcW w:w="2001" w:type="dxa"/>
          </w:tcPr>
          <w:p w14:paraId="0111893D" w14:textId="77777777" w:rsidR="00D11F34" w:rsidRPr="00D11F34" w:rsidRDefault="00D11F34" w:rsidP="00507FCC">
            <w:pPr>
              <w:rPr>
                <w:rFonts w:ascii="Cambria" w:hAnsi="Cambria"/>
              </w:rPr>
            </w:pPr>
          </w:p>
        </w:tc>
        <w:tc>
          <w:tcPr>
            <w:tcW w:w="2001" w:type="dxa"/>
          </w:tcPr>
          <w:p w14:paraId="18CAA87A" w14:textId="77777777" w:rsidR="00D11F34" w:rsidRPr="00D11F34" w:rsidRDefault="00D11F34" w:rsidP="00507FCC">
            <w:pPr>
              <w:rPr>
                <w:rFonts w:ascii="Cambria" w:hAnsi="Cambria"/>
              </w:rPr>
            </w:pPr>
          </w:p>
        </w:tc>
      </w:tr>
      <w:tr w:rsidR="00D11F34" w:rsidRPr="00D11F34" w14:paraId="22F2B4A8" w14:textId="77777777" w:rsidTr="00507FCC">
        <w:tc>
          <w:tcPr>
            <w:tcW w:w="4050" w:type="dxa"/>
          </w:tcPr>
          <w:p w14:paraId="7EA04614" w14:textId="77777777" w:rsidR="00D11F34" w:rsidRPr="00D11F34" w:rsidRDefault="00D11F34" w:rsidP="00507FCC">
            <w:pPr>
              <w:ind w:left="162"/>
              <w:rPr>
                <w:rFonts w:ascii="Cambria" w:hAnsi="Cambria"/>
              </w:rPr>
            </w:pPr>
            <w:r w:rsidRPr="00D11F34">
              <w:rPr>
                <w:rFonts w:ascii="Cambria" w:hAnsi="Cambria"/>
              </w:rPr>
              <w:t>$140</w:t>
            </w:r>
          </w:p>
        </w:tc>
        <w:tc>
          <w:tcPr>
            <w:tcW w:w="2514" w:type="dxa"/>
          </w:tcPr>
          <w:p w14:paraId="65AD5EF8" w14:textId="77777777" w:rsidR="00D11F34" w:rsidRPr="00D11F34" w:rsidRDefault="00D11F34" w:rsidP="00507FCC">
            <w:pPr>
              <w:ind w:left="162"/>
              <w:rPr>
                <w:rFonts w:ascii="Cambria" w:hAnsi="Cambria"/>
              </w:rPr>
            </w:pPr>
            <w:r w:rsidRPr="00D11F34">
              <w:rPr>
                <w:rFonts w:ascii="Cambria" w:hAnsi="Cambria"/>
              </w:rPr>
              <w:t>$160,001 - $200,000</w:t>
            </w:r>
          </w:p>
        </w:tc>
        <w:tc>
          <w:tcPr>
            <w:tcW w:w="2001" w:type="dxa"/>
          </w:tcPr>
          <w:p w14:paraId="47212F54" w14:textId="77777777" w:rsidR="00D11F34" w:rsidRPr="00D11F34" w:rsidRDefault="00D11F34" w:rsidP="00507FCC">
            <w:pPr>
              <w:rPr>
                <w:rFonts w:ascii="Cambria" w:hAnsi="Cambria"/>
              </w:rPr>
            </w:pPr>
          </w:p>
        </w:tc>
        <w:tc>
          <w:tcPr>
            <w:tcW w:w="2001" w:type="dxa"/>
          </w:tcPr>
          <w:p w14:paraId="5F217E2F" w14:textId="77777777" w:rsidR="00D11F34" w:rsidRPr="00D11F34" w:rsidRDefault="00D11F34" w:rsidP="00507FCC">
            <w:pPr>
              <w:rPr>
                <w:rFonts w:ascii="Cambria" w:hAnsi="Cambria"/>
              </w:rPr>
            </w:pPr>
          </w:p>
        </w:tc>
      </w:tr>
      <w:tr w:rsidR="00D11F34" w:rsidRPr="00D11F34" w14:paraId="4682017A" w14:textId="77777777" w:rsidTr="00507FCC">
        <w:tc>
          <w:tcPr>
            <w:tcW w:w="4050" w:type="dxa"/>
          </w:tcPr>
          <w:p w14:paraId="540953DE" w14:textId="77777777" w:rsidR="00D11F34" w:rsidRPr="00D11F34" w:rsidRDefault="00D11F34" w:rsidP="00507FCC">
            <w:pPr>
              <w:ind w:left="162"/>
              <w:rPr>
                <w:rFonts w:ascii="Cambria" w:hAnsi="Cambria"/>
              </w:rPr>
            </w:pPr>
            <w:r w:rsidRPr="00D11F34">
              <w:rPr>
                <w:rFonts w:ascii="Cambria" w:hAnsi="Cambria"/>
              </w:rPr>
              <w:t>$160</w:t>
            </w:r>
          </w:p>
        </w:tc>
        <w:tc>
          <w:tcPr>
            <w:tcW w:w="2514" w:type="dxa"/>
          </w:tcPr>
          <w:p w14:paraId="04E34664" w14:textId="77777777" w:rsidR="00D11F34" w:rsidRPr="00D11F34" w:rsidRDefault="00D11F34" w:rsidP="00507FCC">
            <w:pPr>
              <w:ind w:left="162"/>
              <w:rPr>
                <w:rFonts w:ascii="Cambria" w:hAnsi="Cambria"/>
              </w:rPr>
            </w:pPr>
            <w:r w:rsidRPr="00D11F34">
              <w:rPr>
                <w:rFonts w:ascii="Cambria" w:hAnsi="Cambria"/>
              </w:rPr>
              <w:t>$200,001 +</w:t>
            </w:r>
          </w:p>
        </w:tc>
        <w:tc>
          <w:tcPr>
            <w:tcW w:w="2001" w:type="dxa"/>
          </w:tcPr>
          <w:p w14:paraId="1E101C88" w14:textId="77777777" w:rsidR="00D11F34" w:rsidRPr="00D11F34" w:rsidRDefault="00D11F34" w:rsidP="00507FCC">
            <w:pPr>
              <w:rPr>
                <w:rFonts w:ascii="Cambria" w:hAnsi="Cambria"/>
              </w:rPr>
            </w:pPr>
          </w:p>
        </w:tc>
        <w:tc>
          <w:tcPr>
            <w:tcW w:w="2001" w:type="dxa"/>
          </w:tcPr>
          <w:p w14:paraId="6B235BB4" w14:textId="77777777" w:rsidR="00D11F34" w:rsidRPr="00D11F34" w:rsidRDefault="00D11F34" w:rsidP="00507FCC">
            <w:pPr>
              <w:rPr>
                <w:rFonts w:ascii="Cambria" w:hAnsi="Cambria"/>
              </w:rPr>
            </w:pPr>
          </w:p>
        </w:tc>
      </w:tr>
      <w:tr w:rsidR="00D11F34" w14:paraId="336AB59D" w14:textId="77777777" w:rsidTr="00507FCC">
        <w:trPr>
          <w:trHeight w:val="100"/>
        </w:trPr>
        <w:tc>
          <w:tcPr>
            <w:tcW w:w="4050" w:type="dxa"/>
          </w:tcPr>
          <w:p w14:paraId="047F6D2E" w14:textId="77777777" w:rsidR="00D11F34" w:rsidRPr="00C35D72" w:rsidRDefault="00D11F34" w:rsidP="00507FCC">
            <w:pPr>
              <w:ind w:left="162"/>
            </w:pPr>
          </w:p>
        </w:tc>
        <w:tc>
          <w:tcPr>
            <w:tcW w:w="2514" w:type="dxa"/>
          </w:tcPr>
          <w:p w14:paraId="278C389B" w14:textId="77777777" w:rsidR="00D11F34" w:rsidRPr="00C35D72" w:rsidRDefault="00D11F34" w:rsidP="00507FCC">
            <w:pPr>
              <w:ind w:left="162"/>
            </w:pPr>
          </w:p>
        </w:tc>
        <w:tc>
          <w:tcPr>
            <w:tcW w:w="2001" w:type="dxa"/>
          </w:tcPr>
          <w:p w14:paraId="4964634E" w14:textId="77777777" w:rsidR="00D11F34" w:rsidRPr="00C35D72" w:rsidRDefault="00D11F34" w:rsidP="00507FCC"/>
        </w:tc>
        <w:tc>
          <w:tcPr>
            <w:tcW w:w="2001" w:type="dxa"/>
          </w:tcPr>
          <w:p w14:paraId="2B428EBD" w14:textId="77777777" w:rsidR="00D11F34" w:rsidRDefault="00D11F34" w:rsidP="00507FCC"/>
        </w:tc>
      </w:tr>
    </w:tbl>
    <w:p w14:paraId="7FDEDEF9" w14:textId="77777777" w:rsidR="00D11F34" w:rsidRDefault="00D11F34" w:rsidP="003E4CF7">
      <w:pPr>
        <w:rPr>
          <w:rFonts w:asciiTheme="minorHAnsi" w:hAnsiTheme="minorHAnsi"/>
        </w:rPr>
      </w:pPr>
    </w:p>
    <w:p w14:paraId="241CE55A" w14:textId="77777777" w:rsidR="00D11F34" w:rsidRDefault="00D11F34" w:rsidP="003E4CF7">
      <w:pPr>
        <w:rPr>
          <w:rFonts w:asciiTheme="minorHAnsi" w:hAnsiTheme="minorHAnsi"/>
        </w:rPr>
      </w:pPr>
    </w:p>
    <w:p w14:paraId="7B960B87" w14:textId="77777777" w:rsidR="003E4CF7" w:rsidRPr="003E4CF7" w:rsidRDefault="003E4CF7" w:rsidP="003E4CF7">
      <w:pPr>
        <w:rPr>
          <w:rFonts w:asciiTheme="minorHAnsi" w:hAnsiTheme="minorHAnsi"/>
          <w:b/>
        </w:rPr>
      </w:pPr>
      <w:r>
        <w:rPr>
          <w:rFonts w:asciiTheme="minorHAnsi" w:hAnsiTheme="minorHAnsi"/>
          <w:b/>
        </w:rPr>
        <w:t xml:space="preserve">Insurance </w:t>
      </w:r>
      <w:r w:rsidR="00BD67F8">
        <w:rPr>
          <w:rFonts w:asciiTheme="minorHAnsi" w:hAnsiTheme="minorHAnsi"/>
          <w:b/>
        </w:rPr>
        <w:t xml:space="preserve">&amp; </w:t>
      </w:r>
      <w:r w:rsidR="00BD67F8" w:rsidRPr="003E4CF7">
        <w:rPr>
          <w:rFonts w:asciiTheme="minorHAnsi" w:hAnsiTheme="minorHAnsi"/>
          <w:b/>
        </w:rPr>
        <w:t xml:space="preserve">Payment </w:t>
      </w:r>
    </w:p>
    <w:p w14:paraId="464524D1" w14:textId="77777777" w:rsidR="000E624F" w:rsidRDefault="003E4CF7" w:rsidP="003E4CF7">
      <w:pPr>
        <w:autoSpaceDE w:val="0"/>
        <w:autoSpaceDN w:val="0"/>
        <w:adjustRightInd w:val="0"/>
        <w:ind w:firstLine="720"/>
        <w:rPr>
          <w:rFonts w:ascii="Cambria" w:hAnsi="Cambria" w:cs="Arial"/>
        </w:rPr>
      </w:pPr>
      <w:r w:rsidRPr="003E4CF7">
        <w:rPr>
          <w:rFonts w:ascii="Cambria" w:hAnsi="Cambria" w:cs="Arial"/>
        </w:rPr>
        <w:t>The ASC does not accept insurance payments for services rendered; we can provide you with receipts or documentation you can submit to your insurance provider for reimbursement.  It is your responsibility to contact your insurance provider if you would like to find out if they will reimburse for our services as insurance policies vary widely in the coverage of mental health services.  All of the ASC clinicians are opted out of the Medicare program and are unable to take direct or indirect Medicare payment for services.</w:t>
      </w:r>
      <w:r w:rsidR="000E624F">
        <w:rPr>
          <w:rFonts w:ascii="Cambria" w:hAnsi="Cambria" w:cs="Arial"/>
        </w:rPr>
        <w:t xml:space="preserve"> </w:t>
      </w:r>
    </w:p>
    <w:p w14:paraId="65A2399E" w14:textId="6E0F2730" w:rsidR="003E4CF7" w:rsidRPr="003E4CF7" w:rsidRDefault="000E624F" w:rsidP="000E624F">
      <w:pPr>
        <w:autoSpaceDE w:val="0"/>
        <w:autoSpaceDN w:val="0"/>
        <w:adjustRightInd w:val="0"/>
        <w:ind w:firstLine="720"/>
        <w:rPr>
          <w:rFonts w:ascii="Cambria" w:hAnsi="Cambria" w:cs="Arial"/>
        </w:rPr>
      </w:pPr>
      <w:r>
        <w:rPr>
          <w:rFonts w:ascii="Cambria" w:hAnsi="Cambria" w:cs="Arial"/>
        </w:rPr>
        <w:lastRenderedPageBreak/>
        <w:t>Payment is expected at the time of</w:t>
      </w:r>
      <w:r w:rsidR="00702AAD">
        <w:rPr>
          <w:rFonts w:ascii="Cambria" w:hAnsi="Cambria" w:cs="Arial"/>
        </w:rPr>
        <w:t xml:space="preserve"> service. The ASC accepts most major credit cards (i.e. Visa, </w:t>
      </w:r>
      <w:r>
        <w:rPr>
          <w:rFonts w:ascii="Cambria" w:hAnsi="Cambria" w:cs="Arial"/>
        </w:rPr>
        <w:t>MasterCard</w:t>
      </w:r>
      <w:r w:rsidR="00702AAD">
        <w:rPr>
          <w:rFonts w:ascii="Cambria" w:hAnsi="Cambria" w:cs="Arial"/>
        </w:rPr>
        <w:t>). On rare occasions,</w:t>
      </w:r>
      <w:r>
        <w:rPr>
          <w:rFonts w:ascii="Cambria" w:hAnsi="Cambria" w:cs="Arial"/>
        </w:rPr>
        <w:t xml:space="preserve"> personal check</w:t>
      </w:r>
      <w:r w:rsidR="00702AAD">
        <w:rPr>
          <w:rFonts w:ascii="Cambria" w:hAnsi="Cambria" w:cs="Arial"/>
        </w:rPr>
        <w:t xml:space="preserve">s may be used. The ASC </w:t>
      </w:r>
      <w:r w:rsidR="00702AAD" w:rsidRPr="00702AAD">
        <w:rPr>
          <w:rFonts w:ascii="Cambria" w:hAnsi="Cambria" w:cs="Arial"/>
          <w:b/>
        </w:rPr>
        <w:t>does not</w:t>
      </w:r>
      <w:r w:rsidR="00702AAD">
        <w:rPr>
          <w:rFonts w:ascii="Cambria" w:hAnsi="Cambria" w:cs="Arial"/>
        </w:rPr>
        <w:t xml:space="preserve"> accept cash.</w:t>
      </w:r>
    </w:p>
    <w:p w14:paraId="1B895E7B" w14:textId="77777777" w:rsidR="003E4CF7" w:rsidRDefault="003E4CF7" w:rsidP="003E4CF7">
      <w:pPr>
        <w:pStyle w:val="BodyText"/>
        <w:rPr>
          <w:rFonts w:ascii="Cambria" w:hAnsi="Cambria" w:cs="Arial"/>
          <w:b/>
          <w:bCs/>
          <w:szCs w:val="24"/>
          <w:u w:val="single"/>
        </w:rPr>
      </w:pPr>
    </w:p>
    <w:p w14:paraId="7FFA66BA" w14:textId="77777777" w:rsidR="003E4CF7" w:rsidRPr="000F136B" w:rsidRDefault="003E4CF7" w:rsidP="003E4CF7">
      <w:pPr>
        <w:pStyle w:val="BodyText"/>
        <w:rPr>
          <w:rFonts w:ascii="Cambria" w:hAnsi="Cambria" w:cs="Arial"/>
          <w:b/>
          <w:bCs/>
          <w:szCs w:val="24"/>
        </w:rPr>
      </w:pPr>
      <w:r w:rsidRPr="000F136B">
        <w:rPr>
          <w:rFonts w:ascii="Cambria" w:hAnsi="Cambria" w:cs="Arial"/>
          <w:b/>
          <w:bCs/>
          <w:szCs w:val="24"/>
        </w:rPr>
        <w:t>Cancellation Policy</w:t>
      </w:r>
    </w:p>
    <w:p w14:paraId="4443E9CD" w14:textId="77777777" w:rsidR="003E4CF7" w:rsidRDefault="000E624F" w:rsidP="003E4CF7">
      <w:pPr>
        <w:pStyle w:val="BodyText"/>
        <w:ind w:firstLine="720"/>
        <w:rPr>
          <w:rFonts w:ascii="Cambria" w:hAnsi="Cambria" w:cs="Arial"/>
        </w:rPr>
      </w:pPr>
      <w:r>
        <w:rPr>
          <w:rFonts w:ascii="Cambria" w:hAnsi="Cambria" w:cs="Arial"/>
        </w:rPr>
        <w:t>We</w:t>
      </w:r>
      <w:r w:rsidR="003E4CF7" w:rsidRPr="0038631E">
        <w:rPr>
          <w:rFonts w:ascii="Cambria" w:hAnsi="Cambria" w:cs="Arial"/>
        </w:rPr>
        <w:t xml:space="preserve"> request a minimum of 24 hours notice for canceled appointments, otherwise you will be charged</w:t>
      </w:r>
      <w:r>
        <w:rPr>
          <w:rFonts w:ascii="Cambria" w:hAnsi="Cambria" w:cs="Arial"/>
        </w:rPr>
        <w:t xml:space="preserve"> the full price of </w:t>
      </w:r>
      <w:r w:rsidR="003E4CF7" w:rsidRPr="0038631E">
        <w:rPr>
          <w:rFonts w:ascii="Cambria" w:hAnsi="Cambria" w:cs="Arial"/>
        </w:rPr>
        <w:t xml:space="preserve">the missed visit if you are unable to reschedule the appointment for the same week given your clinician’s limited availability.  We request that you call ahead if you are going to be late for an appointment.  If you are more than 30 minutes late for a scheduled session, your clinician may not be able to see you due to time constraints. </w:t>
      </w:r>
    </w:p>
    <w:p w14:paraId="7C6D3D9A" w14:textId="77777777" w:rsidR="009A7291" w:rsidRPr="0038631E" w:rsidRDefault="009A7291" w:rsidP="003E4CF7">
      <w:pPr>
        <w:pStyle w:val="BodyText"/>
        <w:ind w:firstLine="720"/>
        <w:rPr>
          <w:rFonts w:ascii="Cambria" w:hAnsi="Cambria" w:cs="Arial"/>
        </w:rPr>
      </w:pPr>
      <w:r>
        <w:rPr>
          <w:rFonts w:ascii="Cambria" w:hAnsi="Cambria" w:cs="Arial"/>
        </w:rPr>
        <w:t>If a patient misses or cancels without an extenuating circumstance (e.g., car does not start, medical or family emergency, illness) more than three times, the clinician has the right to drop the case and refer the patient out.</w:t>
      </w:r>
    </w:p>
    <w:p w14:paraId="45D14DF1" w14:textId="77777777" w:rsidR="00DC0BE9" w:rsidRDefault="00DC0BE9" w:rsidP="003E4CF7">
      <w:pPr>
        <w:rPr>
          <w:rFonts w:asciiTheme="minorHAnsi" w:hAnsiTheme="minorHAnsi"/>
        </w:rPr>
      </w:pPr>
      <w:bookmarkStart w:id="0" w:name="_GoBack"/>
      <w:bookmarkEnd w:id="0"/>
    </w:p>
    <w:sectPr w:rsidR="00DC0BE9" w:rsidSect="00E47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2A0E"/>
    <w:multiLevelType w:val="hybridMultilevel"/>
    <w:tmpl w:val="3A2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F7"/>
    <w:rsid w:val="000E624F"/>
    <w:rsid w:val="000F136B"/>
    <w:rsid w:val="00233532"/>
    <w:rsid w:val="00312B12"/>
    <w:rsid w:val="003E4CF7"/>
    <w:rsid w:val="006422E1"/>
    <w:rsid w:val="006D41DA"/>
    <w:rsid w:val="00702AAD"/>
    <w:rsid w:val="009A7291"/>
    <w:rsid w:val="009C7386"/>
    <w:rsid w:val="00A95D8F"/>
    <w:rsid w:val="00BD67F8"/>
    <w:rsid w:val="00D11F34"/>
    <w:rsid w:val="00DC0BE9"/>
    <w:rsid w:val="00E477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D7E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C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F7"/>
    <w:pPr>
      <w:ind w:left="720"/>
      <w:contextualSpacing/>
    </w:pPr>
  </w:style>
  <w:style w:type="paragraph" w:styleId="BodyText">
    <w:name w:val="Body Text"/>
    <w:basedOn w:val="Normal"/>
    <w:link w:val="BodyTextChar"/>
    <w:rsid w:val="003E4CF7"/>
    <w:rPr>
      <w:szCs w:val="20"/>
    </w:rPr>
  </w:style>
  <w:style w:type="character" w:customStyle="1" w:styleId="BodyTextChar">
    <w:name w:val="Body Text Char"/>
    <w:basedOn w:val="DefaultParagraphFont"/>
    <w:link w:val="BodyText"/>
    <w:rsid w:val="003E4CF7"/>
    <w:rPr>
      <w:rFonts w:ascii="Times New Roman" w:eastAsia="Times New Roman" w:hAnsi="Times New Roman" w:cs="Times New Roman"/>
      <w:szCs w:val="20"/>
    </w:rPr>
  </w:style>
  <w:style w:type="character" w:styleId="CommentReference">
    <w:name w:val="annotation reference"/>
    <w:rsid w:val="003E4CF7"/>
    <w:rPr>
      <w:sz w:val="16"/>
      <w:szCs w:val="16"/>
    </w:rPr>
  </w:style>
  <w:style w:type="paragraph" w:styleId="CommentText">
    <w:name w:val="annotation text"/>
    <w:basedOn w:val="Normal"/>
    <w:link w:val="CommentTextChar"/>
    <w:rsid w:val="003E4CF7"/>
    <w:rPr>
      <w:sz w:val="20"/>
      <w:szCs w:val="20"/>
    </w:rPr>
  </w:style>
  <w:style w:type="character" w:customStyle="1" w:styleId="CommentTextChar">
    <w:name w:val="Comment Text Char"/>
    <w:basedOn w:val="DefaultParagraphFont"/>
    <w:link w:val="CommentText"/>
    <w:rsid w:val="003E4C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4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CF7"/>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E624F"/>
    <w:rPr>
      <w:b/>
      <w:bCs/>
    </w:rPr>
  </w:style>
  <w:style w:type="character" w:customStyle="1" w:styleId="CommentSubjectChar">
    <w:name w:val="Comment Subject Char"/>
    <w:basedOn w:val="CommentTextChar"/>
    <w:link w:val="CommentSubject"/>
    <w:uiPriority w:val="99"/>
    <w:semiHidden/>
    <w:rsid w:val="000E624F"/>
    <w:rPr>
      <w:rFonts w:ascii="Times New Roman" w:eastAsia="Times New Roman" w:hAnsi="Times New Roman" w:cs="Times New Roman"/>
      <w:b/>
      <w:bCs/>
      <w:sz w:val="20"/>
      <w:szCs w:val="20"/>
    </w:rPr>
  </w:style>
  <w:style w:type="table" w:styleId="TableGrid">
    <w:name w:val="Table Grid"/>
    <w:basedOn w:val="TableNormal"/>
    <w:uiPriority w:val="59"/>
    <w:rsid w:val="00D11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2053</Characters>
  <Application>Microsoft Macintosh Word</Application>
  <DocSecurity>0</DocSecurity>
  <Lines>17</Lines>
  <Paragraphs>4</Paragraphs>
  <ScaleCrop>false</ScaleCrop>
  <Company>The University of Texas at Austin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User</dc:creator>
  <cp:keywords/>
  <dc:description/>
  <cp:lastModifiedBy>Amador, Christina</cp:lastModifiedBy>
  <cp:revision>7</cp:revision>
  <cp:lastPrinted>2014-09-26T15:03:00Z</cp:lastPrinted>
  <dcterms:created xsi:type="dcterms:W3CDTF">2014-12-17T20:57:00Z</dcterms:created>
  <dcterms:modified xsi:type="dcterms:W3CDTF">2017-11-01T17:44:00Z</dcterms:modified>
</cp:coreProperties>
</file>